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1357" w14:textId="77777777" w:rsidR="005E5E82" w:rsidRDefault="005E5E82" w:rsidP="005E5E82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</w:p>
    <w:p w14:paraId="4B4431E7" w14:textId="31B166C3" w:rsidR="005E5E82" w:rsidRPr="005E5E82" w:rsidRDefault="005E5E82" w:rsidP="00DE2A55">
      <w:pPr>
        <w:spacing w:line="240" w:lineRule="auto"/>
        <w:jc w:val="center"/>
        <w:rPr>
          <w:rFonts w:ascii="Palatino Linotype" w:eastAsia="Times New Roman" w:hAnsi="Palatino Linotype" w:cs="Times New Roman"/>
          <w:lang w:val="en-US"/>
        </w:rPr>
      </w:pPr>
      <w:bookmarkStart w:id="0" w:name="_GoBack"/>
      <w:r w:rsidRPr="005E5E82">
        <w:rPr>
          <w:rFonts w:ascii="Palatino Linotype" w:eastAsia="Times New Roman" w:hAnsi="Palatino Linotype"/>
          <w:b/>
          <w:bCs/>
          <w:color w:val="000000"/>
          <w:lang w:val="en-US"/>
        </w:rPr>
        <w:t>Notes on the Manzanar Shooting</w:t>
      </w:r>
    </w:p>
    <w:p w14:paraId="123B4882" w14:textId="77777777" w:rsidR="005E5E82" w:rsidRPr="005E5E82" w:rsidRDefault="005E5E82" w:rsidP="00DE2A5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075951B0" w14:textId="77777777" w:rsidR="005E5E82" w:rsidRPr="005E5E82" w:rsidRDefault="005E5E82" w:rsidP="00DE2A5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Morton </w:t>
      </w:r>
      <w:proofErr w:type="spellStart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>Grodzins</w:t>
      </w:r>
      <w:proofErr w:type="spellEnd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was a political scientist. In the aftermath of the violent uprising at Manzanar in December, 1942, </w:t>
      </w:r>
      <w:proofErr w:type="spellStart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>Grodzins</w:t>
      </w:r>
      <w:proofErr w:type="spellEnd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visited the camp and wrote down his own impressions and observations. In this section of his report draft, </w:t>
      </w:r>
      <w:proofErr w:type="spellStart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>Grodzins</w:t>
      </w:r>
      <w:proofErr w:type="spellEnd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disputes the argument that the violence stemmed from pro-Japanese and anti-American forces within the camp during a celebration of Pearl Harbor––an argument picked up by numerous newspapers at the time––and instead insisted that frustration with camp administration was more to blame. In 1949, </w:t>
      </w:r>
      <w:proofErr w:type="spellStart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>Grodzins</w:t>
      </w:r>
      <w:proofErr w:type="spellEnd"/>
      <w:r w:rsidRPr="005E5E82">
        <w:rPr>
          <w:rFonts w:ascii="Palatino Linotype" w:eastAsia="Times New Roman" w:hAnsi="Palatino Linotype"/>
          <w:i/>
          <w:iCs/>
          <w:color w:val="000000"/>
          <w:lang w:val="en-US"/>
        </w:rPr>
        <w:t xml:space="preserve"> wrote a book on the mistreatment of Japanese Americans during the war called </w:t>
      </w:r>
      <w:r w:rsidRPr="005E5E82">
        <w:rPr>
          <w:rFonts w:ascii="Palatino Linotype" w:eastAsia="Times New Roman" w:hAnsi="Palatino Linotype"/>
          <w:color w:val="000000"/>
          <w:lang w:val="en-US"/>
        </w:rPr>
        <w:t>Americans Betrayed. </w:t>
      </w:r>
    </w:p>
    <w:p w14:paraId="089F71BB" w14:textId="77777777" w:rsidR="005E5E82" w:rsidRPr="005E5E82" w:rsidRDefault="005E5E82" w:rsidP="00DE2A5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1"/>
        <w:gridCol w:w="2259"/>
      </w:tblGrid>
      <w:tr w:rsidR="005E5E82" w:rsidRPr="005E5E82" w14:paraId="736E4BBD" w14:textId="77777777" w:rsidTr="005E5E82">
        <w:tc>
          <w:tcPr>
            <w:tcW w:w="0" w:type="auto"/>
            <w:tcBorders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CD87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The Manzanar shooting incident was attributed by Camp Director Ralph Merritt, in his statement to the newspapers, to “a celebration of Pearl Harbor by the pro-axis group among the Japanese.” This entire report points to the doubtful </w:t>
            </w: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validity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of this statement. From the evidence at hand, there is no indication that a celebration of Pearl Harbor had anything to do with the affair. It would be crediting the Japanese with over-abundant</w:t>
            </w: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 prophetic powers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to believe that they could foresee that </w:t>
            </w:r>
            <w:proofErr w:type="spellStart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Uyeno</w:t>
            </w:r>
            <w:proofErr w:type="spellEnd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[Harry Ueno] would be removed from the camp following the beating of </w:t>
            </w:r>
            <w:proofErr w:type="spellStart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Tayama</w:t>
            </w:r>
            <w:proofErr w:type="spellEnd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. </w:t>
            </w:r>
            <w:proofErr w:type="spellStart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Uyeno</w:t>
            </w:r>
            <w:proofErr w:type="spellEnd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did not come forward and confess, thus setting up cause for reaction. Rather, the evidence indicates that he was identified by </w:t>
            </w:r>
            <w:proofErr w:type="spellStart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Tayama’s</w:t>
            </w:r>
            <w:proofErr w:type="spellEnd"/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wife on</w:t>
            </w: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 tenuous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evidence, and removed from the camp over his own protest.</w:t>
            </w:r>
          </w:p>
          <w:p w14:paraId="500B8F88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</w:p>
          <w:p w14:paraId="668E25ED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Furthermore, there is little evidence to corroborate the view that pro-axis sentiment was the main factor in creating the riot situation. Pro-axis elements appear to have been the </w:t>
            </w: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catalysts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at work. But the main dynamics are anti-administration rather than anti-American. The basis of this anti-administration feeling has been traced chronologically to at least the early part of August, and </w:t>
            </w: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>quantitatively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 xml:space="preserve"> to all segments of the Manzanar population, old and young, American and non-American. That the anti-administration feeling came to a head on December 6 is pure chance. If it had come to a breaking point on December 25, Mr. Merritt, with equal validity, could have called it a Christmas celebration.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1E6E9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 w:cs="Times New Roman"/>
                <w:lang w:val="en-US"/>
              </w:rPr>
              <w:br/>
            </w:r>
          </w:p>
          <w:p w14:paraId="3F14757A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validity: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accuracy</w:t>
            </w:r>
          </w:p>
          <w:p w14:paraId="0EEB947A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 w:cs="Times New Roman"/>
                <w:lang w:val="en-US"/>
              </w:rPr>
              <w:br/>
            </w:r>
          </w:p>
          <w:p w14:paraId="7EABC6E9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prophetic powers: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predicting the future</w:t>
            </w:r>
          </w:p>
          <w:p w14:paraId="1EFADA7F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 w:cs="Times New Roman"/>
                <w:lang w:val="en-US"/>
              </w:rPr>
              <w:br/>
            </w:r>
          </w:p>
          <w:p w14:paraId="189D0BBD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tenuous: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weak</w:t>
            </w:r>
          </w:p>
          <w:p w14:paraId="5BD7FDB7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 w:cs="Times New Roman"/>
                <w:lang w:val="en-US"/>
              </w:rPr>
              <w:br/>
            </w:r>
            <w:r w:rsidRPr="005E5E82">
              <w:rPr>
                <w:rFonts w:ascii="Palatino Linotype" w:eastAsia="Times New Roman" w:hAnsi="Palatino Linotype" w:cs="Times New Roman"/>
                <w:lang w:val="en-US"/>
              </w:rPr>
              <w:br/>
            </w:r>
          </w:p>
          <w:p w14:paraId="082D4E32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catalysts: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causing something the happen quickly</w:t>
            </w:r>
          </w:p>
          <w:p w14:paraId="4D1D792E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</w:p>
          <w:p w14:paraId="7EBEA935" w14:textId="77777777" w:rsidR="005E5E82" w:rsidRPr="005E5E82" w:rsidRDefault="005E5E82" w:rsidP="00DE2A55">
            <w:pPr>
              <w:spacing w:line="240" w:lineRule="auto"/>
              <w:rPr>
                <w:rFonts w:ascii="Palatino Linotype" w:eastAsia="Times New Roman" w:hAnsi="Palatino Linotype" w:cs="Times New Roman"/>
                <w:lang w:val="en-US"/>
              </w:rPr>
            </w:pPr>
            <w:r w:rsidRPr="005E5E82">
              <w:rPr>
                <w:rFonts w:ascii="Palatino Linotype" w:eastAsia="Times New Roman" w:hAnsi="Palatino Linotype"/>
                <w:b/>
                <w:bCs/>
                <w:color w:val="000000"/>
                <w:lang w:val="en-US"/>
              </w:rPr>
              <w:t xml:space="preserve">quantitatively: </w:t>
            </w:r>
            <w:r w:rsidRPr="005E5E82">
              <w:rPr>
                <w:rFonts w:ascii="Palatino Linotype" w:eastAsia="Times New Roman" w:hAnsi="Palatino Linotype"/>
                <w:color w:val="000000"/>
                <w:lang w:val="en-US"/>
              </w:rPr>
              <w:t>measuring the numbers of</w:t>
            </w:r>
          </w:p>
        </w:tc>
      </w:tr>
    </w:tbl>
    <w:p w14:paraId="695C8AAB" w14:textId="77777777" w:rsidR="005E5E82" w:rsidRPr="005E5E82" w:rsidRDefault="005E5E82" w:rsidP="00DE2A5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</w:p>
    <w:p w14:paraId="1E40A973" w14:textId="77777777" w:rsidR="005E5E82" w:rsidRPr="005E5E82" w:rsidRDefault="005E5E82" w:rsidP="00DE2A55">
      <w:pPr>
        <w:spacing w:line="240" w:lineRule="auto"/>
        <w:rPr>
          <w:rFonts w:ascii="Palatino Linotype" w:eastAsia="Times New Roman" w:hAnsi="Palatino Linotype" w:cs="Times New Roman"/>
          <w:lang w:val="en-US"/>
        </w:rPr>
      </w:pPr>
      <w:r w:rsidRPr="005E5E82">
        <w:rPr>
          <w:rFonts w:ascii="Palatino Linotype" w:eastAsia="Times New Roman" w:hAnsi="Palatino Linotype"/>
          <w:b/>
          <w:bCs/>
          <w:color w:val="000000"/>
          <w:shd w:val="clear" w:color="auto" w:fill="FFFFFF"/>
          <w:lang w:val="en-US"/>
        </w:rPr>
        <w:lastRenderedPageBreak/>
        <w:t>Source:</w:t>
      </w:r>
      <w:r w:rsidRPr="005E5E82">
        <w:rPr>
          <w:rFonts w:ascii="Palatino Linotype" w:eastAsia="Times New Roman" w:hAnsi="Palatino Linotype"/>
          <w:color w:val="000000"/>
          <w:shd w:val="clear" w:color="auto" w:fill="FFFFFF"/>
          <w:lang w:val="en-US"/>
        </w:rPr>
        <w:t xml:space="preserve"> </w:t>
      </w:r>
      <w:proofErr w:type="spellStart"/>
      <w:r w:rsidRPr="005E5E82">
        <w:rPr>
          <w:rFonts w:ascii="Palatino Linotype" w:eastAsia="Times New Roman" w:hAnsi="Palatino Linotype"/>
          <w:color w:val="000000"/>
          <w:shd w:val="clear" w:color="auto" w:fill="FFFFFF"/>
          <w:lang w:val="en-US"/>
        </w:rPr>
        <w:t>Grodzins</w:t>
      </w:r>
      <w:proofErr w:type="spellEnd"/>
      <w:r w:rsidRPr="005E5E82">
        <w:rPr>
          <w:rFonts w:ascii="Palatino Linotype" w:eastAsia="Times New Roman" w:hAnsi="Palatino Linotype"/>
          <w:color w:val="000000"/>
          <w:shd w:val="clear" w:color="auto" w:fill="FFFFFF"/>
          <w:lang w:val="en-US"/>
        </w:rPr>
        <w:t xml:space="preserve">, Morton. " </w:t>
      </w:r>
      <w:hyperlink r:id="rId7" w:history="1">
        <w:r w:rsidRPr="005E5E82">
          <w:rPr>
            <w:rFonts w:ascii="Palatino Linotype" w:eastAsia="Times New Roman" w:hAnsi="Palatino Linotype"/>
            <w:color w:val="000000"/>
            <w:u w:val="single"/>
            <w:shd w:val="clear" w:color="auto" w:fill="FFFFFF"/>
            <w:lang w:val="en-US"/>
          </w:rPr>
          <w:t xml:space="preserve">The Manzanar Shooting, Jan. 10, 1943. </w:t>
        </w:r>
      </w:hyperlink>
      <w:r w:rsidRPr="005E5E82">
        <w:rPr>
          <w:rFonts w:ascii="Palatino Linotype" w:eastAsia="Times New Roman" w:hAnsi="Palatino Linotype"/>
          <w:color w:val="000000"/>
          <w:shd w:val="clear" w:color="auto" w:fill="FFFFFF"/>
          <w:lang w:val="en-US"/>
        </w:rPr>
        <w:t xml:space="preserve">" The Japanese American Evacuation and Resettlement: A Digital Archive, Bancroft Library, University of California. BANC MSS 67/14 c, folder O10.04. </w:t>
      </w:r>
      <w:hyperlink r:id="rId8" w:history="1">
        <w:r w:rsidRPr="005E5E82">
          <w:rPr>
            <w:rFonts w:ascii="Palatino Linotype" w:eastAsia="Times New Roman" w:hAnsi="Palatino Linotype"/>
            <w:color w:val="000000"/>
            <w:u w:val="single"/>
            <w:shd w:val="clear" w:color="auto" w:fill="FFFFFF"/>
            <w:lang w:val="en-US"/>
          </w:rPr>
          <w:t>https://digitalassets.lib.berkeley.edu/jarda/ucb/text/cubanc6714_b210o10_0004.pdf</w:t>
        </w:r>
      </w:hyperlink>
    </w:p>
    <w:p w14:paraId="5BFBBC35" w14:textId="0DAA7452" w:rsidR="00121F56" w:rsidRPr="005E5E82" w:rsidRDefault="00121F56" w:rsidP="00DE2A55">
      <w:pPr>
        <w:spacing w:line="240" w:lineRule="auto"/>
        <w:rPr>
          <w:rFonts w:ascii="Palatino Linotype" w:hAnsi="Palatino Linotype" w:cs="Times New Roman"/>
          <w:b/>
        </w:rPr>
      </w:pPr>
    </w:p>
    <w:p w14:paraId="5F3D3831" w14:textId="77777777" w:rsidR="00B67AAC" w:rsidRPr="005E5E82" w:rsidRDefault="00B67AAC" w:rsidP="00DE2A55">
      <w:pPr>
        <w:spacing w:line="240" w:lineRule="auto"/>
        <w:rPr>
          <w:rFonts w:ascii="Palatino Linotype" w:hAnsi="Palatino Linotype" w:cs="Times New Roman"/>
        </w:rPr>
      </w:pPr>
    </w:p>
    <w:bookmarkEnd w:id="0"/>
    <w:p w14:paraId="35A1ABA8" w14:textId="77777777" w:rsidR="000A1F2A" w:rsidRPr="005E5E82" w:rsidRDefault="000A1F2A" w:rsidP="00DE2A55">
      <w:pPr>
        <w:spacing w:line="240" w:lineRule="auto"/>
        <w:rPr>
          <w:rFonts w:ascii="Palatino Linotype" w:hAnsi="Palatino Linotype" w:cs="Times New Roman"/>
        </w:rPr>
      </w:pPr>
    </w:p>
    <w:sectPr w:rsidR="000A1F2A" w:rsidRPr="005E5E82" w:rsidSect="00787139">
      <w:headerReference w:type="default" r:id="rId9"/>
      <w:footerReference w:type="default" r:id="rId10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DC141" w14:textId="77777777" w:rsidR="008B71A2" w:rsidRDefault="008B71A2" w:rsidP="00787139">
      <w:pPr>
        <w:spacing w:line="240" w:lineRule="auto"/>
      </w:pPr>
      <w:r>
        <w:separator/>
      </w:r>
    </w:p>
  </w:endnote>
  <w:endnote w:type="continuationSeparator" w:id="0">
    <w:p w14:paraId="52411422" w14:textId="77777777" w:rsidR="008B71A2" w:rsidRDefault="008B71A2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8A90" w14:textId="15BEDCA5" w:rsidR="00DE2A55" w:rsidRDefault="00DE2A55" w:rsidP="00787139">
    <w:pPr>
      <w:pStyle w:val="Footer"/>
      <w:pBdr>
        <w:bottom w:val="thinThickThinMediumGap" w:sz="18" w:space="1" w:color="auto"/>
      </w:pBdr>
      <w:jc w:val="center"/>
    </w:pPr>
  </w:p>
  <w:p w14:paraId="23267763" w14:textId="77777777" w:rsidR="00DE2A55" w:rsidRDefault="00DE2A55" w:rsidP="00787139">
    <w:pPr>
      <w:pStyle w:val="Footer"/>
      <w:jc w:val="center"/>
    </w:pPr>
  </w:p>
  <w:p w14:paraId="512218EE" w14:textId="601092A8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81E8" w14:textId="77777777" w:rsidR="008B71A2" w:rsidRDefault="008B71A2" w:rsidP="00787139">
      <w:pPr>
        <w:spacing w:line="240" w:lineRule="auto"/>
      </w:pPr>
      <w:r>
        <w:separator/>
      </w:r>
    </w:p>
  </w:footnote>
  <w:footnote w:type="continuationSeparator" w:id="0">
    <w:p w14:paraId="75CFDF5A" w14:textId="77777777" w:rsidR="008B71A2" w:rsidRDefault="008B71A2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5DD0EF8E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DE2A55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E7A96"/>
    <w:rsid w:val="004D3BB8"/>
    <w:rsid w:val="005E5E82"/>
    <w:rsid w:val="00621C1B"/>
    <w:rsid w:val="006D223D"/>
    <w:rsid w:val="00787139"/>
    <w:rsid w:val="008B71A2"/>
    <w:rsid w:val="00B6546B"/>
    <w:rsid w:val="00B67AAC"/>
    <w:rsid w:val="00CB011C"/>
    <w:rsid w:val="00D43AF3"/>
    <w:rsid w:val="00D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semiHidden/>
    <w:unhideWhenUsed/>
    <w:rsid w:val="005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E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assets.lib.berkeley.edu/jarda/ucb/text/cubanc6714_b210o10_00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alassets.lib.berkeley.edu/jarda/ucb/text/cubanc6714_b210o10_000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3</cp:revision>
  <dcterms:created xsi:type="dcterms:W3CDTF">2020-06-12T20:27:00Z</dcterms:created>
  <dcterms:modified xsi:type="dcterms:W3CDTF">2020-06-12T20:27:00Z</dcterms:modified>
</cp:coreProperties>
</file>